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5000" w:type="pct"/>
        <w:tblCellSpacing w:w="15" w:type="dxa"/>
        <w:tblCellMar>
          <w:top w:w="15" w:type="dxa"/>
          <w:left w:w="15" w:type="dxa"/>
          <w:bottom w:w="15" w:type="dxa"/>
          <w:right w:w="15" w:type="dxa"/>
        </w:tblCellMar>
        <w:tblLook w:val="04A0"/>
      </w:tblPr>
      <w:tblGrid>
        <w:gridCol w:w="9729"/>
      </w:tblGrid>
      <w:tr w:rsidR="00E644F2" w:rsidRPr="00E644F2" w:rsidTr="00E644F2">
        <w:trPr>
          <w:trHeight w:val="990"/>
          <w:tblCellSpacing w:w="15" w:type="dxa"/>
        </w:trPr>
        <w:tc>
          <w:tcPr>
            <w:tcW w:w="0" w:type="auto"/>
            <w:shd w:val="clear" w:color="auto" w:fill="EAECEE"/>
            <w:vAlign w:val="center"/>
            <w:hideMark/>
          </w:tcPr>
          <w:p w:rsidR="00E644F2" w:rsidRPr="00E644F2" w:rsidRDefault="00E644F2" w:rsidP="00E644F2">
            <w:pPr>
              <w:keepLines w:val="0"/>
              <w:spacing w:before="100" w:beforeAutospacing="1" w:after="100" w:afterAutospacing="1"/>
              <w:jc w:val="center"/>
              <w:rPr>
                <w:rFonts w:ascii="Times New Roman" w:eastAsia="Times New Roman" w:hAnsi="Times New Roman" w:cs="Times New Roman"/>
                <w:sz w:val="24"/>
                <w:szCs w:val="24"/>
                <w:lang w:val="en-US"/>
              </w:rPr>
            </w:pPr>
            <w:r w:rsidRPr="00E644F2">
              <w:rPr>
                <w:rFonts w:ascii="Arial" w:eastAsia="Times New Roman" w:hAnsi="Arial" w:cs="Arial"/>
                <w:b/>
                <w:bCs/>
                <w:color w:val="00557D"/>
                <w:sz w:val="24"/>
                <w:szCs w:val="24"/>
                <w:lang w:val="en-US"/>
              </w:rPr>
              <w:t>How to register for CEPA English in the academic year 2009 - 2010</w:t>
            </w:r>
          </w:p>
        </w:tc>
      </w:tr>
      <w:tr w:rsidR="00E644F2" w:rsidRPr="00E644F2" w:rsidTr="00E644F2">
        <w:trPr>
          <w:tblCellSpacing w:w="15" w:type="dxa"/>
        </w:trPr>
        <w:tc>
          <w:tcPr>
            <w:tcW w:w="0" w:type="auto"/>
            <w:vAlign w:val="center"/>
            <w:hideMark/>
          </w:tcPr>
          <w:p w:rsidR="00E644F2" w:rsidRPr="00E644F2" w:rsidRDefault="00E644F2" w:rsidP="00E644F2">
            <w:pPr>
              <w:keepLines w:val="0"/>
              <w:spacing w:before="100" w:beforeAutospacing="1" w:after="100" w:afterAutospacing="1"/>
              <w:jc w:val="left"/>
              <w:rPr>
                <w:rFonts w:ascii="Arial" w:eastAsia="Times New Roman" w:hAnsi="Arial" w:cs="Arial"/>
                <w:sz w:val="24"/>
                <w:szCs w:val="24"/>
                <w:lang w:val="en-US"/>
              </w:rPr>
            </w:pPr>
            <w:r w:rsidRPr="00E644F2">
              <w:rPr>
                <w:rFonts w:ascii="Arial" w:eastAsia="Times New Roman" w:hAnsi="Arial" w:cs="Arial"/>
                <w:color w:val="00557D"/>
                <w:sz w:val="20"/>
                <w:szCs w:val="20"/>
                <w:lang w:val="en-US"/>
              </w:rPr>
              <w:t>Grade 12 students now have the chance to take the CEPA English test more than once. This is a great opportunity for you to get an early indication of your readiness for university study and to try to improve your score through the year.</w:t>
            </w:r>
            <w:r w:rsidRPr="00E644F2">
              <w:rPr>
                <w:rFonts w:ascii="Arial" w:eastAsia="Times New Roman" w:hAnsi="Arial" w:cs="Arial"/>
                <w:sz w:val="24"/>
                <w:szCs w:val="24"/>
                <w:lang w:val="en-US"/>
              </w:rPr>
              <w:t xml:space="preserve"> </w:t>
            </w:r>
          </w:p>
          <w:p w:rsidR="00E644F2" w:rsidRPr="00E644F2" w:rsidRDefault="00E644F2" w:rsidP="00E644F2">
            <w:pPr>
              <w:keepLines w:val="0"/>
              <w:spacing w:before="100" w:beforeAutospacing="1" w:after="100" w:afterAutospacing="1"/>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If you achieve a score of 165 or more you may also be eligible for early acceptance into the Bachelors degree course at the institution of your choice, even before you complete Grade 12. Your offer will be confirmed as soon as you meet all other requirements, including GSC. If you achieve a high score, of 180 or more, you may be eligible for direct entry to your academic program.</w:t>
            </w:r>
          </w:p>
          <w:p w:rsidR="00E644F2" w:rsidRPr="00E644F2" w:rsidRDefault="00E644F2" w:rsidP="00E644F2">
            <w:pPr>
              <w:keepLines w:val="0"/>
              <w:spacing w:before="100" w:beforeAutospacing="1" w:after="100" w:afterAutospacing="1"/>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 xml:space="preserve">There will be four test administrations in the current academic year. You can take the test three times: in December, in February </w:t>
            </w:r>
            <w:r w:rsidRPr="00E644F2">
              <w:rPr>
                <w:rFonts w:ascii="Arial" w:eastAsia="Times New Roman" w:hAnsi="Arial" w:cs="Arial"/>
                <w:i/>
                <w:iCs/>
                <w:color w:val="00557D"/>
                <w:sz w:val="20"/>
                <w:szCs w:val="20"/>
                <w:lang w:val="en-US"/>
              </w:rPr>
              <w:t>or</w:t>
            </w:r>
            <w:r w:rsidRPr="00E644F2">
              <w:rPr>
                <w:rFonts w:ascii="Arial" w:eastAsia="Times New Roman" w:hAnsi="Arial" w:cs="Arial"/>
                <w:color w:val="00557D"/>
                <w:sz w:val="20"/>
                <w:szCs w:val="20"/>
                <w:lang w:val="en-US"/>
              </w:rPr>
              <w:t xml:space="preserve"> March (not both), and in May. Once you are satisfied with your score, you do not need to take the test again. If you take the test more than once, your </w:t>
            </w:r>
            <w:r w:rsidRPr="00E644F2">
              <w:rPr>
                <w:rFonts w:ascii="Arial" w:eastAsia="Times New Roman" w:hAnsi="Arial" w:cs="Arial"/>
                <w:i/>
                <w:iCs/>
                <w:color w:val="00557D"/>
                <w:sz w:val="20"/>
                <w:szCs w:val="20"/>
                <w:lang w:val="en-US"/>
              </w:rPr>
              <w:t xml:space="preserve">highest </w:t>
            </w:r>
            <w:r w:rsidRPr="00E644F2">
              <w:rPr>
                <w:rFonts w:ascii="Arial" w:eastAsia="Times New Roman" w:hAnsi="Arial" w:cs="Arial"/>
                <w:color w:val="00557D"/>
                <w:sz w:val="20"/>
                <w:szCs w:val="20"/>
                <w:lang w:val="en-US"/>
              </w:rPr>
              <w:t xml:space="preserve">score will be used to determine your eligibility for higher education. </w:t>
            </w:r>
          </w:p>
          <w:p w:rsidR="00E644F2" w:rsidRPr="00E644F2" w:rsidRDefault="00E644F2" w:rsidP="00E644F2">
            <w:pPr>
              <w:keepLines w:val="0"/>
              <w:spacing w:before="100" w:beforeAutospacing="1" w:after="100" w:afterAutospacing="1"/>
              <w:ind w:left="720"/>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If you have not taken the test at one of the three early administrations you will be automatically registered for the final administration on 1</w:t>
            </w:r>
            <w:r w:rsidRPr="00E644F2">
              <w:rPr>
                <w:rFonts w:ascii="Arial" w:eastAsia="Times New Roman" w:hAnsi="Arial" w:cs="Arial"/>
                <w:color w:val="00557D"/>
                <w:sz w:val="20"/>
                <w:szCs w:val="20"/>
                <w:vertAlign w:val="superscript"/>
                <w:lang w:val="en-US"/>
              </w:rPr>
              <w:t>st</w:t>
            </w:r>
            <w:r w:rsidRPr="00E644F2">
              <w:rPr>
                <w:rFonts w:ascii="Arial" w:eastAsia="Times New Roman" w:hAnsi="Arial" w:cs="Arial"/>
                <w:color w:val="00557D"/>
                <w:sz w:val="20"/>
                <w:szCs w:val="20"/>
                <w:lang w:val="en-US"/>
              </w:rPr>
              <w:t xml:space="preserve"> May, 2010. </w:t>
            </w:r>
          </w:p>
          <w:p w:rsidR="00E644F2" w:rsidRPr="00E644F2" w:rsidRDefault="00E644F2" w:rsidP="00E644F2">
            <w:pPr>
              <w:keepLines w:val="0"/>
              <w:spacing w:before="100" w:beforeAutospacing="1" w:after="100" w:afterAutospacing="1"/>
              <w:ind w:left="720"/>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If you have taken the test but failed to achieve a score of 165, you will also be automatically registered for the 1</w:t>
            </w:r>
            <w:r w:rsidRPr="00E644F2">
              <w:rPr>
                <w:rFonts w:ascii="Arial" w:eastAsia="Times New Roman" w:hAnsi="Arial" w:cs="Arial"/>
                <w:color w:val="00557D"/>
                <w:sz w:val="20"/>
                <w:szCs w:val="20"/>
                <w:vertAlign w:val="superscript"/>
                <w:lang w:val="en-US"/>
              </w:rPr>
              <w:t>st</w:t>
            </w:r>
            <w:r w:rsidRPr="00E644F2">
              <w:rPr>
                <w:rFonts w:ascii="Arial" w:eastAsia="Times New Roman" w:hAnsi="Arial" w:cs="Arial"/>
                <w:color w:val="00557D"/>
                <w:sz w:val="20"/>
                <w:szCs w:val="20"/>
                <w:lang w:val="en-US"/>
              </w:rPr>
              <w:t xml:space="preserve"> May test. </w:t>
            </w:r>
          </w:p>
          <w:p w:rsidR="00E644F2" w:rsidRPr="00E644F2" w:rsidRDefault="00E644F2" w:rsidP="00E644F2">
            <w:pPr>
              <w:keepLines w:val="0"/>
              <w:spacing w:before="100" w:beforeAutospacing="1" w:after="100" w:afterAutospacing="1"/>
              <w:ind w:left="720"/>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If you have taken the test and scored 165 or more but want to take the test again on 1</w:t>
            </w:r>
            <w:r w:rsidRPr="00E644F2">
              <w:rPr>
                <w:rFonts w:ascii="Arial" w:eastAsia="Times New Roman" w:hAnsi="Arial" w:cs="Arial"/>
                <w:color w:val="00557D"/>
                <w:sz w:val="20"/>
                <w:szCs w:val="20"/>
                <w:vertAlign w:val="superscript"/>
                <w:lang w:val="en-US"/>
              </w:rPr>
              <w:t>st</w:t>
            </w:r>
            <w:r w:rsidRPr="00E644F2">
              <w:rPr>
                <w:rFonts w:ascii="Arial" w:eastAsia="Times New Roman" w:hAnsi="Arial" w:cs="Arial"/>
                <w:color w:val="00557D"/>
                <w:sz w:val="20"/>
                <w:szCs w:val="20"/>
                <w:lang w:val="en-US"/>
              </w:rPr>
              <w:t xml:space="preserve"> May, you must register before the registration deadline of 15</w:t>
            </w:r>
            <w:r w:rsidRPr="00E644F2">
              <w:rPr>
                <w:rFonts w:ascii="Arial" w:eastAsia="Times New Roman" w:hAnsi="Arial" w:cs="Arial"/>
                <w:color w:val="00557D"/>
                <w:sz w:val="20"/>
                <w:szCs w:val="20"/>
                <w:vertAlign w:val="superscript"/>
                <w:lang w:val="en-US"/>
              </w:rPr>
              <w:t>th</w:t>
            </w:r>
            <w:r w:rsidRPr="00E644F2">
              <w:rPr>
                <w:rFonts w:ascii="Arial" w:eastAsia="Times New Roman" w:hAnsi="Arial" w:cs="Arial"/>
                <w:color w:val="00557D"/>
                <w:sz w:val="20"/>
                <w:szCs w:val="20"/>
                <w:lang w:val="en-US"/>
              </w:rPr>
              <w:t xml:space="preserve"> April. </w:t>
            </w:r>
          </w:p>
          <w:p w:rsidR="00E644F2" w:rsidRPr="00E644F2" w:rsidRDefault="00E644F2" w:rsidP="00E644F2">
            <w:pPr>
              <w:keepLines w:val="0"/>
              <w:spacing w:before="100" w:beforeAutospacing="1" w:after="100" w:afterAutospacing="1"/>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Opening and closing dates for registration are:</w:t>
            </w:r>
          </w:p>
          <w:tbl>
            <w:tblPr>
              <w:tblW w:w="0" w:type="auto"/>
              <w:jc w:val="center"/>
              <w:tblCellSpacing w:w="15" w:type="dxa"/>
              <w:tblCellMar>
                <w:top w:w="15" w:type="dxa"/>
                <w:left w:w="15" w:type="dxa"/>
                <w:bottom w:w="15" w:type="dxa"/>
                <w:right w:w="15" w:type="dxa"/>
              </w:tblCellMar>
              <w:tblLook w:val="04A0"/>
            </w:tblPr>
            <w:tblGrid>
              <w:gridCol w:w="1621"/>
              <w:gridCol w:w="1851"/>
              <w:gridCol w:w="1962"/>
              <w:gridCol w:w="2043"/>
            </w:tblGrid>
            <w:tr w:rsidR="00E644F2" w:rsidRPr="00E644F2">
              <w:trPr>
                <w:tblCellSpacing w:w="15" w:type="dxa"/>
                <w:jc w:val="center"/>
              </w:trPr>
              <w:tc>
                <w:tcPr>
                  <w:tcW w:w="0" w:type="auto"/>
                  <w:vAlign w:val="center"/>
                  <w:hideMark/>
                </w:tcPr>
                <w:p w:rsidR="00E644F2" w:rsidRPr="00E644F2" w:rsidRDefault="00E644F2" w:rsidP="00E644F2">
                  <w:pPr>
                    <w:keepLines w:val="0"/>
                    <w:spacing w:after="0"/>
                    <w:jc w:val="center"/>
                    <w:rPr>
                      <w:rFonts w:ascii="Arial" w:eastAsia="Times New Roman" w:hAnsi="Arial" w:cs="Arial"/>
                      <w:color w:val="00557D"/>
                      <w:sz w:val="24"/>
                      <w:szCs w:val="24"/>
                      <w:u w:val="single"/>
                      <w:lang w:val="en-US"/>
                    </w:rPr>
                  </w:pPr>
                  <w:r w:rsidRPr="00E644F2">
                    <w:rPr>
                      <w:rFonts w:ascii="Arial" w:eastAsia="Times New Roman" w:hAnsi="Arial" w:cs="Arial"/>
                      <w:color w:val="00557D"/>
                      <w:sz w:val="20"/>
                      <w:szCs w:val="20"/>
                      <w:u w:val="single"/>
                      <w:lang w:val="en-US"/>
                    </w:rPr>
                    <w:t xml:space="preserve">Test date </w:t>
                  </w:r>
                </w:p>
              </w:tc>
              <w:tc>
                <w:tcPr>
                  <w:tcW w:w="0" w:type="auto"/>
                  <w:vAlign w:val="center"/>
                  <w:hideMark/>
                </w:tcPr>
                <w:p w:rsidR="00E644F2" w:rsidRPr="00E644F2" w:rsidRDefault="00E644F2" w:rsidP="00E644F2">
                  <w:pPr>
                    <w:keepLines w:val="0"/>
                    <w:spacing w:after="0"/>
                    <w:jc w:val="center"/>
                    <w:rPr>
                      <w:rFonts w:ascii="Arial" w:eastAsia="Times New Roman" w:hAnsi="Arial" w:cs="Arial"/>
                      <w:color w:val="00557D"/>
                      <w:sz w:val="24"/>
                      <w:szCs w:val="24"/>
                      <w:u w:val="single"/>
                      <w:lang w:val="en-US"/>
                    </w:rPr>
                  </w:pPr>
                  <w:r w:rsidRPr="00E644F2">
                    <w:rPr>
                      <w:rFonts w:ascii="Arial" w:eastAsia="Times New Roman" w:hAnsi="Arial" w:cs="Arial"/>
                      <w:color w:val="00557D"/>
                      <w:sz w:val="20"/>
                      <w:szCs w:val="20"/>
                      <w:u w:val="single"/>
                      <w:lang w:val="en-US"/>
                    </w:rPr>
                    <w:t>Registration opens</w:t>
                  </w:r>
                </w:p>
              </w:tc>
              <w:tc>
                <w:tcPr>
                  <w:tcW w:w="0" w:type="auto"/>
                  <w:vAlign w:val="center"/>
                  <w:hideMark/>
                </w:tcPr>
                <w:p w:rsidR="00E644F2" w:rsidRPr="00E644F2" w:rsidRDefault="00E644F2" w:rsidP="00E644F2">
                  <w:pPr>
                    <w:keepLines w:val="0"/>
                    <w:spacing w:after="0"/>
                    <w:jc w:val="center"/>
                    <w:rPr>
                      <w:rFonts w:ascii="Arial" w:eastAsia="Times New Roman" w:hAnsi="Arial" w:cs="Arial"/>
                      <w:color w:val="00557D"/>
                      <w:sz w:val="24"/>
                      <w:szCs w:val="24"/>
                      <w:u w:val="single"/>
                      <w:lang w:val="en-US"/>
                    </w:rPr>
                  </w:pPr>
                  <w:r w:rsidRPr="00E644F2">
                    <w:rPr>
                      <w:rFonts w:ascii="Arial" w:eastAsia="Times New Roman" w:hAnsi="Arial" w:cs="Arial"/>
                      <w:color w:val="00557D"/>
                      <w:sz w:val="24"/>
                      <w:szCs w:val="24"/>
                      <w:u w:val="single"/>
                      <w:lang w:val="en-US"/>
                    </w:rPr>
                    <w:t> </w:t>
                  </w:r>
                  <w:r w:rsidRPr="00E644F2">
                    <w:rPr>
                      <w:rFonts w:ascii="Arial" w:eastAsia="Times New Roman" w:hAnsi="Arial" w:cs="Arial"/>
                      <w:color w:val="00557D"/>
                      <w:sz w:val="20"/>
                      <w:szCs w:val="20"/>
                      <w:u w:val="single"/>
                      <w:lang w:val="en-US"/>
                    </w:rPr>
                    <w:t xml:space="preserve"> Registration closes</w:t>
                  </w:r>
                </w:p>
              </w:tc>
              <w:tc>
                <w:tcPr>
                  <w:tcW w:w="0" w:type="auto"/>
                  <w:vAlign w:val="center"/>
                  <w:hideMark/>
                </w:tcPr>
                <w:p w:rsidR="00E644F2" w:rsidRPr="00E644F2" w:rsidRDefault="00E644F2" w:rsidP="00E644F2">
                  <w:pPr>
                    <w:keepLines w:val="0"/>
                    <w:spacing w:after="0"/>
                    <w:jc w:val="center"/>
                    <w:rPr>
                      <w:rFonts w:ascii="Arial" w:eastAsia="Times New Roman" w:hAnsi="Arial" w:cs="Arial"/>
                      <w:color w:val="00557D"/>
                      <w:sz w:val="24"/>
                      <w:szCs w:val="24"/>
                      <w:u w:val="single"/>
                      <w:lang w:val="en-US"/>
                    </w:rPr>
                  </w:pPr>
                  <w:r w:rsidRPr="00E644F2">
                    <w:rPr>
                      <w:rFonts w:ascii="Arial" w:eastAsia="Times New Roman" w:hAnsi="Arial" w:cs="Arial"/>
                      <w:color w:val="00557D"/>
                      <w:sz w:val="24"/>
                      <w:szCs w:val="24"/>
                      <w:u w:val="single"/>
                      <w:lang w:val="en-US"/>
                    </w:rPr>
                    <w:t xml:space="preserve">  </w:t>
                  </w:r>
                  <w:r w:rsidRPr="00E644F2">
                    <w:rPr>
                      <w:rFonts w:ascii="Arial" w:eastAsia="Times New Roman" w:hAnsi="Arial" w:cs="Arial"/>
                      <w:color w:val="00557D"/>
                      <w:sz w:val="20"/>
                      <w:szCs w:val="20"/>
                      <w:u w:val="single"/>
                      <w:lang w:val="en-US"/>
                    </w:rPr>
                    <w:t>Results reported</w:t>
                  </w:r>
                </w:p>
              </w:tc>
            </w:tr>
            <w:tr w:rsidR="00E644F2" w:rsidRPr="00E644F2">
              <w:trPr>
                <w:tblCellSpacing w:w="15" w:type="dxa"/>
                <w:jc w:val="center"/>
              </w:trPr>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0"/>
                      <w:szCs w:val="20"/>
                      <w:lang w:val="en-US"/>
                    </w:rPr>
                    <w:t>Sat,19 Dec. 2009</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Sat,22 Nov. 2009</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Wed,16 Dec. 2009</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Thurs,24 Dec. 2009</w:t>
                  </w:r>
                </w:p>
              </w:tc>
            </w:tr>
            <w:tr w:rsidR="00E644F2" w:rsidRPr="00E644F2">
              <w:trPr>
                <w:tblCellSpacing w:w="15" w:type="dxa"/>
                <w:jc w:val="center"/>
              </w:trPr>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0"/>
                      <w:szCs w:val="20"/>
                      <w:lang w:val="en-US"/>
                    </w:rPr>
                    <w:t>Sat,20 Feb.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Sun,20 Dec. 2009</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Wed,17 Feb.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Thurs,25 Feb. 2010</w:t>
                  </w:r>
                </w:p>
              </w:tc>
            </w:tr>
            <w:tr w:rsidR="00E644F2" w:rsidRPr="00E644F2">
              <w:trPr>
                <w:tblCellSpacing w:w="15" w:type="dxa"/>
                <w:jc w:val="center"/>
              </w:trPr>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0"/>
                      <w:szCs w:val="20"/>
                      <w:lang w:val="en-US"/>
                    </w:rPr>
                    <w:t>Sat,20 Mar.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Sun,24 Jun.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Wed,17 Mar.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Thurs,25 Mar. 2010</w:t>
                  </w:r>
                </w:p>
              </w:tc>
            </w:tr>
            <w:tr w:rsidR="00E644F2" w:rsidRPr="00E644F2">
              <w:trPr>
                <w:tblCellSpacing w:w="15" w:type="dxa"/>
                <w:jc w:val="center"/>
              </w:trPr>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0"/>
                      <w:szCs w:val="20"/>
                      <w:lang w:val="en-US"/>
                    </w:rPr>
                    <w:t>Sat,1 May.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Sun,28 Feb.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Thurs,15 Apr. 2010</w:t>
                  </w:r>
                </w:p>
              </w:tc>
              <w:tc>
                <w:tcPr>
                  <w:tcW w:w="0" w:type="auto"/>
                  <w:vAlign w:val="center"/>
                  <w:hideMark/>
                </w:tcPr>
                <w:p w:rsidR="00E644F2" w:rsidRPr="00E644F2" w:rsidRDefault="00E644F2" w:rsidP="00E644F2">
                  <w:pPr>
                    <w:keepLines w:val="0"/>
                    <w:spacing w:after="0"/>
                    <w:jc w:val="left"/>
                    <w:rPr>
                      <w:rFonts w:ascii="Arial" w:eastAsia="Times New Roman" w:hAnsi="Arial" w:cs="Arial"/>
                      <w:color w:val="00557D"/>
                      <w:sz w:val="24"/>
                      <w:szCs w:val="24"/>
                      <w:lang w:val="en-US"/>
                    </w:rPr>
                  </w:pPr>
                  <w:r w:rsidRPr="00E644F2">
                    <w:rPr>
                      <w:rFonts w:ascii="Arial" w:eastAsia="Times New Roman" w:hAnsi="Arial" w:cs="Arial"/>
                      <w:color w:val="00557D"/>
                      <w:sz w:val="24"/>
                      <w:szCs w:val="24"/>
                      <w:lang w:val="en-US"/>
                    </w:rPr>
                    <w:t>  </w:t>
                  </w:r>
                  <w:r w:rsidRPr="00E644F2">
                    <w:rPr>
                      <w:rFonts w:ascii="Arial" w:eastAsia="Times New Roman" w:hAnsi="Arial" w:cs="Arial"/>
                      <w:color w:val="00557D"/>
                      <w:sz w:val="20"/>
                      <w:szCs w:val="20"/>
                      <w:lang w:val="en-US"/>
                    </w:rPr>
                    <w:t xml:space="preserve"> Thurs,22 May. 2010</w:t>
                  </w:r>
                </w:p>
              </w:tc>
            </w:tr>
          </w:tbl>
          <w:p w:rsidR="00E644F2" w:rsidRPr="00E644F2" w:rsidRDefault="00E644F2" w:rsidP="00E644F2">
            <w:pPr>
              <w:keepLines w:val="0"/>
              <w:spacing w:before="100" w:beforeAutospacing="1" w:after="100" w:afterAutospacing="1"/>
              <w:jc w:val="left"/>
              <w:rPr>
                <w:rFonts w:ascii="Times New Roman" w:eastAsia="Times New Roman" w:hAnsi="Times New Roman" w:cs="Times New Roman"/>
                <w:color w:val="000000"/>
                <w:sz w:val="24"/>
                <w:szCs w:val="24"/>
                <w:lang w:val="en-US"/>
              </w:rPr>
            </w:pPr>
            <w:r w:rsidRPr="00E644F2">
              <w:rPr>
                <w:rFonts w:ascii="Arial" w:eastAsia="Times New Roman" w:hAnsi="Arial" w:cs="Arial"/>
                <w:color w:val="00557D"/>
                <w:sz w:val="20"/>
                <w:szCs w:val="20"/>
                <w:lang w:val="en-US"/>
              </w:rPr>
              <w:t>Before you can register for a CEPA administration you must submit a valid NAPO application along with a photograph, via the NAPO student portal. Once your application has been validated you will be able to access the CEPA English registration site in the portal. The validation process may take up to one week, so please ensure that you get your application in well before the test registration closes.</w:t>
            </w:r>
          </w:p>
          <w:p w:rsidR="00E644F2" w:rsidRPr="00E644F2" w:rsidRDefault="00E644F2" w:rsidP="00E644F2">
            <w:pPr>
              <w:keepLines w:val="0"/>
              <w:spacing w:before="100" w:beforeAutospacing="1" w:after="100" w:afterAutospacing="1"/>
              <w:jc w:val="left"/>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From November to March the test will be offered in computer-based format only. On 1</w:t>
            </w:r>
            <w:r w:rsidRPr="00E644F2">
              <w:rPr>
                <w:rFonts w:ascii="Arial" w:eastAsia="Times New Roman" w:hAnsi="Arial" w:cs="Arial"/>
                <w:color w:val="00557D"/>
                <w:sz w:val="20"/>
                <w:szCs w:val="20"/>
                <w:vertAlign w:val="superscript"/>
                <w:lang w:val="en-US"/>
              </w:rPr>
              <w:t>st</w:t>
            </w:r>
            <w:r w:rsidRPr="00E644F2">
              <w:rPr>
                <w:rFonts w:ascii="Arial" w:eastAsia="Times New Roman" w:hAnsi="Arial" w:cs="Arial"/>
                <w:color w:val="00557D"/>
                <w:sz w:val="20"/>
                <w:szCs w:val="20"/>
                <w:lang w:val="en-US"/>
              </w:rPr>
              <w:t xml:space="preserve"> May you may be allocated to a computer-based version or a pencil-and-paper-based version. You will not be allowed to choose.</w:t>
            </w:r>
          </w:p>
          <w:p w:rsidR="00E644F2" w:rsidRPr="00E644F2" w:rsidRDefault="00E644F2" w:rsidP="00E644F2">
            <w:pPr>
              <w:keepLines w:val="0"/>
              <w:spacing w:before="100" w:beforeAutospacing="1" w:after="100" w:afterAutospacing="1"/>
              <w:jc w:val="center"/>
              <w:rPr>
                <w:rFonts w:ascii="Arial" w:eastAsia="Times New Roman" w:hAnsi="Arial" w:cs="Arial"/>
                <w:color w:val="00557D"/>
                <w:sz w:val="20"/>
                <w:szCs w:val="20"/>
                <w:lang w:val="en-US"/>
              </w:rPr>
            </w:pPr>
            <w:r w:rsidRPr="00E644F2">
              <w:rPr>
                <w:rFonts w:ascii="Arial" w:eastAsia="Times New Roman" w:hAnsi="Arial" w:cs="Arial"/>
                <w:color w:val="00557D"/>
                <w:sz w:val="20"/>
                <w:szCs w:val="20"/>
                <w:lang w:val="en-US"/>
              </w:rPr>
              <w:t xml:space="preserve">Plan now to take the CEPA English test early! </w:t>
            </w:r>
          </w:p>
        </w:tc>
      </w:tr>
    </w:tbl>
    <w:p w:rsidR="00EE4050" w:rsidRDefault="00EE4050" w:rsidP="00EE4050"/>
    <w:p w:rsidR="00EE4050" w:rsidRPr="00A01B8D" w:rsidRDefault="00EE4050" w:rsidP="00EE4050"/>
    <w:sectPr w:rsidR="00EE4050" w:rsidRPr="00A01B8D" w:rsidSect="002F27D3">
      <w:footerReference w:type="default" r:id="rId7"/>
      <w:pgSz w:w="11907" w:h="16839" w:code="9"/>
      <w:pgMar w:top="1134" w:right="1134" w:bottom="1134" w:left="1134" w:header="56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759" w:rsidRDefault="00E22759" w:rsidP="00221D12">
      <w:r>
        <w:separator/>
      </w:r>
    </w:p>
  </w:endnote>
  <w:endnote w:type="continuationSeparator" w:id="1">
    <w:p w:rsidR="00E22759" w:rsidRDefault="00E22759"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61" w:rsidRPr="00A01B8D" w:rsidRDefault="00FD622A" w:rsidP="00A01B8D">
    <w:pPr>
      <w:pStyle w:val="Footer"/>
      <w:pBdr>
        <w:top w:val="single" w:sz="2" w:space="1" w:color="A8A89D"/>
      </w:pBdr>
      <w:tabs>
        <w:tab w:val="clear" w:pos="4680"/>
        <w:tab w:val="clear" w:pos="9360"/>
        <w:tab w:val="right" w:pos="9639"/>
      </w:tabs>
      <w:spacing w:before="120" w:after="0"/>
      <w:rPr>
        <w:sz w:val="16"/>
      </w:rPr>
    </w:pPr>
    <w:r w:rsidRPr="00A01B8D">
      <w:rPr>
        <w:sz w:val="16"/>
      </w:rPr>
      <w:fldChar w:fldCharType="begin"/>
    </w:r>
    <w:r w:rsidR="00A01B8D" w:rsidRPr="00A01B8D">
      <w:rPr>
        <w:sz w:val="16"/>
      </w:rPr>
      <w:instrText xml:space="preserve"> FILENAME  \* Lower \p </w:instrText>
    </w:r>
    <w:r w:rsidRPr="00A01B8D">
      <w:rPr>
        <w:sz w:val="16"/>
      </w:rPr>
      <w:fldChar w:fldCharType="separate"/>
    </w:r>
    <w:r w:rsidR="00B272F6">
      <w:rPr>
        <w:noProof/>
        <w:sz w:val="16"/>
      </w:rPr>
      <w:t>c:\documents and settings\user\local settings\temporary internet files\content.outlook\4lmk2ijp\how to register for cepa english in the academic year 2009.docx</w:t>
    </w:r>
    <w:r w:rsidRPr="00A01B8D">
      <w:rPr>
        <w:sz w:val="16"/>
      </w:rPr>
      <w:fldChar w:fldCharType="end"/>
    </w:r>
    <w:r w:rsidR="00905061" w:rsidRPr="00A01B8D">
      <w:rPr>
        <w:sz w:val="16"/>
      </w:rPr>
      <w:tab/>
      <w:t xml:space="preserve">Page </w:t>
    </w:r>
    <w:r w:rsidRPr="00A01B8D">
      <w:rPr>
        <w:sz w:val="16"/>
      </w:rPr>
      <w:fldChar w:fldCharType="begin"/>
    </w:r>
    <w:r w:rsidR="003A3397" w:rsidRPr="00A01B8D">
      <w:rPr>
        <w:sz w:val="16"/>
      </w:rPr>
      <w:instrText xml:space="preserve"> PAGE   \* MERGEFORMAT </w:instrText>
    </w:r>
    <w:r w:rsidRPr="00A01B8D">
      <w:rPr>
        <w:sz w:val="16"/>
      </w:rPr>
      <w:fldChar w:fldCharType="separate"/>
    </w:r>
    <w:r w:rsidR="00B272F6">
      <w:rPr>
        <w:noProof/>
        <w:sz w:val="16"/>
      </w:rPr>
      <w:t>1</w:t>
    </w:r>
    <w:r w:rsidRPr="00A01B8D">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759" w:rsidRDefault="00E22759" w:rsidP="00221D12">
      <w:r>
        <w:separator/>
      </w:r>
    </w:p>
  </w:footnote>
  <w:footnote w:type="continuationSeparator" w:id="1">
    <w:p w:rsidR="00E22759" w:rsidRDefault="00E22759"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5"/>
  </w:num>
  <w:num w:numId="5">
    <w:abstractNumId w:val="2"/>
  </w:num>
  <w:num w:numId="6">
    <w:abstractNumId w:val="4"/>
  </w:num>
  <w:num w:numId="7">
    <w:abstractNumId w:val="0"/>
  </w:num>
  <w:num w:numId="8">
    <w:abstractNumId w:val="6"/>
  </w:num>
  <w:num w:numId="9">
    <w:abstractNumId w:val="1"/>
  </w:num>
  <w:num w:numId="10">
    <w:abstractNumId w:val="2"/>
  </w:num>
  <w:num w:numId="11">
    <w:abstractNumId w:val="2"/>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8610"/>
  </w:hdrShapeDefaults>
  <w:footnotePr>
    <w:footnote w:id="0"/>
    <w:footnote w:id="1"/>
  </w:footnotePr>
  <w:endnotePr>
    <w:endnote w:id="0"/>
    <w:endnote w:id="1"/>
  </w:endnotePr>
  <w:compat/>
  <w:rsids>
    <w:rsidRoot w:val="00EC3295"/>
    <w:rsid w:val="000276A1"/>
    <w:rsid w:val="0004724D"/>
    <w:rsid w:val="00060A44"/>
    <w:rsid w:val="00071DFE"/>
    <w:rsid w:val="00091CF4"/>
    <w:rsid w:val="000A5496"/>
    <w:rsid w:val="000C2324"/>
    <w:rsid w:val="000C2E2D"/>
    <w:rsid w:val="000D00D3"/>
    <w:rsid w:val="001068E6"/>
    <w:rsid w:val="00110B61"/>
    <w:rsid w:val="00115871"/>
    <w:rsid w:val="00131F72"/>
    <w:rsid w:val="001E7163"/>
    <w:rsid w:val="00221D12"/>
    <w:rsid w:val="00236D7D"/>
    <w:rsid w:val="002422D9"/>
    <w:rsid w:val="002B4F0F"/>
    <w:rsid w:val="002D05AD"/>
    <w:rsid w:val="002D41AC"/>
    <w:rsid w:val="002F27D3"/>
    <w:rsid w:val="0033599F"/>
    <w:rsid w:val="00341822"/>
    <w:rsid w:val="003421D7"/>
    <w:rsid w:val="00345553"/>
    <w:rsid w:val="00351D3D"/>
    <w:rsid w:val="003579E0"/>
    <w:rsid w:val="00374151"/>
    <w:rsid w:val="003A3397"/>
    <w:rsid w:val="003A54B4"/>
    <w:rsid w:val="003E11A6"/>
    <w:rsid w:val="00407122"/>
    <w:rsid w:val="0041282F"/>
    <w:rsid w:val="0041394C"/>
    <w:rsid w:val="0043796E"/>
    <w:rsid w:val="00456B4E"/>
    <w:rsid w:val="0046003F"/>
    <w:rsid w:val="00516743"/>
    <w:rsid w:val="005559E5"/>
    <w:rsid w:val="0055607F"/>
    <w:rsid w:val="0058735E"/>
    <w:rsid w:val="005F502C"/>
    <w:rsid w:val="006025FB"/>
    <w:rsid w:val="00622D82"/>
    <w:rsid w:val="00622D8B"/>
    <w:rsid w:val="006353A4"/>
    <w:rsid w:val="00645EEF"/>
    <w:rsid w:val="0067717F"/>
    <w:rsid w:val="006A1ED6"/>
    <w:rsid w:val="006A5C0D"/>
    <w:rsid w:val="006D0791"/>
    <w:rsid w:val="006D3632"/>
    <w:rsid w:val="006D4EFD"/>
    <w:rsid w:val="00736574"/>
    <w:rsid w:val="007423CD"/>
    <w:rsid w:val="007962D7"/>
    <w:rsid w:val="007A60ED"/>
    <w:rsid w:val="007B16E3"/>
    <w:rsid w:val="00806B0C"/>
    <w:rsid w:val="008073E1"/>
    <w:rsid w:val="008940B7"/>
    <w:rsid w:val="008B31E6"/>
    <w:rsid w:val="008C7B57"/>
    <w:rsid w:val="008D10C4"/>
    <w:rsid w:val="008F53C6"/>
    <w:rsid w:val="008F7F5B"/>
    <w:rsid w:val="00905061"/>
    <w:rsid w:val="00912077"/>
    <w:rsid w:val="0091216B"/>
    <w:rsid w:val="009151BF"/>
    <w:rsid w:val="009A2D4F"/>
    <w:rsid w:val="009B1FBF"/>
    <w:rsid w:val="009D1118"/>
    <w:rsid w:val="009F3A39"/>
    <w:rsid w:val="009F5BB2"/>
    <w:rsid w:val="009F7A96"/>
    <w:rsid w:val="00A01B8D"/>
    <w:rsid w:val="00A411CA"/>
    <w:rsid w:val="00A9418E"/>
    <w:rsid w:val="00AB51EE"/>
    <w:rsid w:val="00AC1168"/>
    <w:rsid w:val="00AD3002"/>
    <w:rsid w:val="00AD64A6"/>
    <w:rsid w:val="00B00061"/>
    <w:rsid w:val="00B0018C"/>
    <w:rsid w:val="00B272F6"/>
    <w:rsid w:val="00B304F8"/>
    <w:rsid w:val="00B406B8"/>
    <w:rsid w:val="00B40F8D"/>
    <w:rsid w:val="00BA256F"/>
    <w:rsid w:val="00BE00AF"/>
    <w:rsid w:val="00BE1458"/>
    <w:rsid w:val="00C132A3"/>
    <w:rsid w:val="00C34A70"/>
    <w:rsid w:val="00C4240C"/>
    <w:rsid w:val="00C64AD3"/>
    <w:rsid w:val="00CA3527"/>
    <w:rsid w:val="00CB1560"/>
    <w:rsid w:val="00CC33FD"/>
    <w:rsid w:val="00CD799F"/>
    <w:rsid w:val="00D51E93"/>
    <w:rsid w:val="00D601F4"/>
    <w:rsid w:val="00DD555F"/>
    <w:rsid w:val="00E1146F"/>
    <w:rsid w:val="00E21959"/>
    <w:rsid w:val="00E22759"/>
    <w:rsid w:val="00E265BE"/>
    <w:rsid w:val="00E27751"/>
    <w:rsid w:val="00E27DFE"/>
    <w:rsid w:val="00E644F2"/>
    <w:rsid w:val="00E70E09"/>
    <w:rsid w:val="00E810C3"/>
    <w:rsid w:val="00E85C29"/>
    <w:rsid w:val="00E8761E"/>
    <w:rsid w:val="00E9452F"/>
    <w:rsid w:val="00EB33E0"/>
    <w:rsid w:val="00EC3295"/>
    <w:rsid w:val="00EE0C69"/>
    <w:rsid w:val="00EE3AF5"/>
    <w:rsid w:val="00EE4050"/>
    <w:rsid w:val="00EF58DC"/>
    <w:rsid w:val="00F0507E"/>
    <w:rsid w:val="00F45A43"/>
    <w:rsid w:val="00F50450"/>
    <w:rsid w:val="00F73EDB"/>
    <w:rsid w:val="00FD622A"/>
    <w:rsid w:val="00FE18F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rmalWeb">
    <w:name w:val="Normal (Web)"/>
    <w:basedOn w:val="Normal"/>
    <w:uiPriority w:val="99"/>
    <w:unhideWhenUsed/>
    <w:rsid w:val="00E644F2"/>
    <w:pPr>
      <w:keepLines w:val="0"/>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5465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dc:creator>
  <cp:lastModifiedBy> Susan de Lautour</cp:lastModifiedBy>
  <cp:revision>2</cp:revision>
  <cp:lastPrinted>2009-11-17T14:44:00Z</cp:lastPrinted>
  <dcterms:created xsi:type="dcterms:W3CDTF">2009-11-17T14:44:00Z</dcterms:created>
  <dcterms:modified xsi:type="dcterms:W3CDTF">2009-11-17T14:44:00Z</dcterms:modified>
</cp:coreProperties>
</file>